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79B" w:rsidRPr="00793B40" w:rsidRDefault="009567AE" w:rsidP="005E579B">
      <w:pPr>
        <w:pageBreakBefore/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№10</w:t>
      </w:r>
      <w:r w:rsidR="005E579B" w:rsidRPr="00793B40">
        <w:rPr>
          <w:sz w:val="20"/>
          <w:szCs w:val="20"/>
        </w:rPr>
        <w:t xml:space="preserve"> </w:t>
      </w:r>
    </w:p>
    <w:p w:rsidR="005E579B" w:rsidRPr="00793B40" w:rsidRDefault="005E579B" w:rsidP="005E579B">
      <w:pPr>
        <w:spacing w:line="240" w:lineRule="auto"/>
        <w:jc w:val="right"/>
        <w:rPr>
          <w:sz w:val="20"/>
          <w:szCs w:val="20"/>
        </w:rPr>
      </w:pPr>
      <w:r w:rsidRPr="00793B40">
        <w:rPr>
          <w:sz w:val="20"/>
          <w:szCs w:val="20"/>
        </w:rPr>
        <w:t>к Договору подряда №</w:t>
      </w:r>
      <w:r w:rsidR="003B43E2">
        <w:rPr>
          <w:sz w:val="20"/>
          <w:szCs w:val="20"/>
        </w:rPr>
        <w:t xml:space="preserve"> </w:t>
      </w:r>
      <w:r w:rsidR="00BA7511">
        <w:rPr>
          <w:sz w:val="20"/>
          <w:szCs w:val="20"/>
          <w:u w:val="single"/>
        </w:rPr>
        <w:t>________</w:t>
      </w:r>
    </w:p>
    <w:p w:rsidR="005E579B" w:rsidRPr="00793B40" w:rsidRDefault="00507E73" w:rsidP="005E579B">
      <w:pPr>
        <w:spacing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от «___</w:t>
      </w:r>
      <w:proofErr w:type="gramStart"/>
      <w:r>
        <w:rPr>
          <w:sz w:val="20"/>
          <w:szCs w:val="20"/>
        </w:rPr>
        <w:t>_»_</w:t>
      </w:r>
      <w:proofErr w:type="gramEnd"/>
      <w:r>
        <w:rPr>
          <w:sz w:val="20"/>
          <w:szCs w:val="20"/>
        </w:rPr>
        <w:t>____________ 202_</w:t>
      </w:r>
      <w:r w:rsidR="005E579B" w:rsidRPr="00793B40">
        <w:rPr>
          <w:sz w:val="20"/>
          <w:szCs w:val="20"/>
        </w:rPr>
        <w:t xml:space="preserve"> г.</w:t>
      </w:r>
    </w:p>
    <w:p w:rsidR="00815596" w:rsidRPr="009B5E8C" w:rsidRDefault="00815596" w:rsidP="00A71495">
      <w:pPr>
        <w:tabs>
          <w:tab w:val="left" w:pos="284"/>
          <w:tab w:val="left" w:pos="426"/>
        </w:tabs>
        <w:spacing w:line="216" w:lineRule="auto"/>
        <w:rPr>
          <w:sz w:val="20"/>
        </w:rPr>
      </w:pPr>
    </w:p>
    <w:p w:rsidR="00CF68B8" w:rsidRDefault="00CF68B8">
      <w:pPr>
        <w:rPr>
          <w:sz w:val="24"/>
        </w:rPr>
      </w:pPr>
    </w:p>
    <w:p w:rsidR="009567AE" w:rsidRPr="009567AE" w:rsidRDefault="009567AE" w:rsidP="00D121CF">
      <w:pPr>
        <w:pStyle w:val="Standarduser"/>
        <w:spacing w:line="240" w:lineRule="auto"/>
        <w:ind w:left="884" w:hanging="527"/>
        <w:jc w:val="center"/>
        <w:rPr>
          <w:sz w:val="20"/>
          <w:szCs w:val="20"/>
        </w:rPr>
      </w:pPr>
      <w:r w:rsidRPr="009567AE">
        <w:rPr>
          <w:rFonts w:ascii="Times New Roman" w:hAnsi="Times New Roman" w:cs="Times New Roman"/>
          <w:b/>
          <w:sz w:val="20"/>
          <w:szCs w:val="20"/>
        </w:rPr>
        <w:t>Требования по обеспечению информационной безопасности при подключении подрядчиков к корпоративной сети передачи данных ПАО «Якутскэнерго»</w:t>
      </w:r>
    </w:p>
    <w:p w:rsidR="009567AE" w:rsidRPr="009567AE" w:rsidRDefault="009567AE" w:rsidP="00D121CF">
      <w:pPr>
        <w:pStyle w:val="a5"/>
        <w:numPr>
          <w:ilvl w:val="0"/>
          <w:numId w:val="2"/>
        </w:numPr>
        <w:suppressAutoHyphens/>
        <w:spacing w:before="240" w:after="120"/>
        <w:ind w:left="567" w:hanging="567"/>
        <w:contextualSpacing w:val="0"/>
        <w:textAlignment w:val="baseline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Общие положения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sz w:val="20"/>
          <w:szCs w:val="20"/>
        </w:rPr>
      </w:pPr>
      <w:r w:rsidRPr="009567AE">
        <w:rPr>
          <w:sz w:val="20"/>
          <w:szCs w:val="20"/>
        </w:rPr>
        <w:t>Настоящие требования разработаны и предъявляется со стороны ПАО «Якутскэнерго» при подключении третьих лиц/поставщиков/подрядчиков (далее каждый по отдельности — Подрядчик) к корпоративной сети передачи данных (далее – КСПД) ПАО «Якутскэнерго» с целью обеспечения информационной безопасности ПАО «Якутскэнерго»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sz w:val="20"/>
          <w:szCs w:val="20"/>
        </w:rPr>
      </w:pPr>
      <w:r w:rsidRPr="009567AE">
        <w:rPr>
          <w:sz w:val="20"/>
          <w:szCs w:val="20"/>
        </w:rPr>
        <w:t>Подрядчик должен ознакомиться и согласиться с настоящими требованиями до момента подключения к корпоративной сети передачи данных ПАО «Якутскэнерго».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sz w:val="20"/>
          <w:szCs w:val="20"/>
        </w:rPr>
      </w:pPr>
      <w:r w:rsidRPr="009567AE">
        <w:rPr>
          <w:sz w:val="20"/>
          <w:szCs w:val="20"/>
        </w:rPr>
        <w:t>Подрядчик соглашается с тем, что третьи лица, привлекаемые им в рамках договоров с ПАО «Якутскэнерго», обязаны соблюдать настоящие требования к обеспечению информационной безопасности.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sz w:val="20"/>
          <w:szCs w:val="20"/>
        </w:rPr>
      </w:pPr>
      <w:r w:rsidRPr="009567AE">
        <w:rPr>
          <w:sz w:val="20"/>
          <w:szCs w:val="20"/>
        </w:rPr>
        <w:t>Подрядчик гарантирует и подтверждает, что обязуется соблюдать приведенные ниже технические и организационные меры безопасности в той степени, в какой они применимы к предоставлению услуг и выполнению работ.</w:t>
      </w:r>
    </w:p>
    <w:p w:rsidR="009567AE" w:rsidRPr="009567AE" w:rsidRDefault="009567AE" w:rsidP="00D121CF">
      <w:pPr>
        <w:pStyle w:val="a5"/>
        <w:numPr>
          <w:ilvl w:val="0"/>
          <w:numId w:val="3"/>
        </w:numPr>
        <w:suppressAutoHyphens/>
        <w:spacing w:before="240" w:after="120"/>
        <w:ind w:left="567" w:hanging="567"/>
        <w:contextualSpacing w:val="0"/>
        <w:textAlignment w:val="baseline"/>
        <w:rPr>
          <w:sz w:val="20"/>
          <w:szCs w:val="20"/>
          <w:u w:val="single"/>
        </w:rPr>
      </w:pPr>
      <w:r w:rsidRPr="009567AE">
        <w:rPr>
          <w:sz w:val="20"/>
          <w:szCs w:val="20"/>
          <w:u w:val="single"/>
        </w:rPr>
        <w:t>Термины и определения</w:t>
      </w:r>
    </w:p>
    <w:tbl>
      <w:tblPr>
        <w:tblW w:w="9072" w:type="dxa"/>
        <w:tblInd w:w="562" w:type="dxa"/>
        <w:tblLayout w:type="fixed"/>
        <w:tblLook w:val="0000" w:firstRow="0" w:lastRow="0" w:firstColumn="0" w:lastColumn="0" w:noHBand="0" w:noVBand="0"/>
      </w:tblPr>
      <w:tblGrid>
        <w:gridCol w:w="426"/>
        <w:gridCol w:w="2126"/>
        <w:gridCol w:w="6520"/>
      </w:tblGrid>
      <w:tr w:rsidR="009567AE" w:rsidRPr="009567AE" w:rsidTr="00D121C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Термин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Определение</w:t>
            </w:r>
          </w:p>
        </w:tc>
      </w:tr>
      <w:tr w:rsidR="009567AE" w:rsidRPr="009567AE" w:rsidTr="00D121C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Общество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ПАО «Якутскэнерго», включая филиалы, и организации, в отношении которых ПАО «Якутскэнерго» осуществляет полномочия единоличного исполнительного органа</w:t>
            </w:r>
          </w:p>
        </w:tc>
      </w:tr>
      <w:tr w:rsidR="009567AE" w:rsidRPr="009567AE" w:rsidTr="00D121C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Договор или иное соглашение, подписанное между ПАО «Якутскэнерго» и Подрядчиком</w:t>
            </w:r>
          </w:p>
        </w:tc>
      </w:tr>
      <w:tr w:rsidR="009567AE" w:rsidRPr="009567AE" w:rsidTr="00D121C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Третье лицо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Субподрядчики, временные сотрудники Подрядчика, его субподрядчиков или дополнительных подрядчиков и/или представители, действующие от имени Подрядчика</w:t>
            </w:r>
          </w:p>
        </w:tc>
      </w:tr>
      <w:tr w:rsidR="009567AE" w:rsidRPr="009567AE" w:rsidTr="00D121C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Технические и организационные меры безопасности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7AE" w:rsidRPr="009567AE" w:rsidRDefault="009567AE" w:rsidP="009567AE">
            <w:pPr>
              <w:pStyle w:val="Standard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 w:rsidRPr="009567AE">
              <w:rPr>
                <w:rFonts w:ascii="Times New Roman" w:hAnsi="Times New Roman" w:cs="Times New Roman"/>
                <w:sz w:val="20"/>
                <w:szCs w:val="20"/>
              </w:rPr>
              <w:t>Любые мероприятия, необходимые в соответствии с настоящими требованиями по обеспечению информационной безопасности</w:t>
            </w:r>
          </w:p>
        </w:tc>
      </w:tr>
    </w:tbl>
    <w:p w:rsidR="009567AE" w:rsidRPr="009567AE" w:rsidRDefault="009567AE" w:rsidP="00D121CF">
      <w:pPr>
        <w:pStyle w:val="a5"/>
        <w:numPr>
          <w:ilvl w:val="0"/>
          <w:numId w:val="3"/>
        </w:numPr>
        <w:suppressAutoHyphens/>
        <w:spacing w:before="240" w:after="120"/>
        <w:ind w:left="567" w:hanging="567"/>
        <w:contextualSpacing w:val="0"/>
        <w:textAlignment w:val="baseline"/>
        <w:rPr>
          <w:sz w:val="20"/>
          <w:szCs w:val="20"/>
          <w:u w:val="single"/>
        </w:rPr>
      </w:pPr>
      <w:r w:rsidRPr="009567AE">
        <w:rPr>
          <w:sz w:val="20"/>
          <w:szCs w:val="20"/>
          <w:u w:val="single"/>
        </w:rPr>
        <w:t>Требования к Подрядчикам</w:t>
      </w:r>
    </w:p>
    <w:p w:rsidR="009567AE" w:rsidRPr="009567AE" w:rsidRDefault="009567AE" w:rsidP="00D121CF">
      <w:pPr>
        <w:spacing w:line="240" w:lineRule="auto"/>
        <w:ind w:left="567" w:hanging="567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Подрядчик обязуется:</w:t>
      </w:r>
    </w:p>
    <w:p w:rsidR="009567AE" w:rsidRPr="009567AE" w:rsidRDefault="009567AE" w:rsidP="009567AE">
      <w:pPr>
        <w:pStyle w:val="a5"/>
        <w:numPr>
          <w:ilvl w:val="0"/>
          <w:numId w:val="1"/>
        </w:numPr>
        <w:suppressAutoHyphens/>
        <w:jc w:val="both"/>
        <w:textAlignment w:val="baseline"/>
        <w:rPr>
          <w:rFonts w:eastAsiaTheme="minorHAnsi"/>
          <w:vanish/>
          <w:sz w:val="20"/>
          <w:szCs w:val="20"/>
          <w:lang w:eastAsia="en-US"/>
        </w:rPr>
      </w:pPr>
    </w:p>
    <w:p w:rsidR="009567AE" w:rsidRPr="009567AE" w:rsidRDefault="009567AE" w:rsidP="009567AE">
      <w:pPr>
        <w:pStyle w:val="a5"/>
        <w:numPr>
          <w:ilvl w:val="0"/>
          <w:numId w:val="1"/>
        </w:numPr>
        <w:suppressAutoHyphens/>
        <w:jc w:val="both"/>
        <w:textAlignment w:val="baseline"/>
        <w:rPr>
          <w:rFonts w:eastAsiaTheme="minorHAnsi"/>
          <w:vanish/>
          <w:sz w:val="20"/>
          <w:szCs w:val="20"/>
          <w:lang w:eastAsia="en-US"/>
        </w:rPr>
      </w:pP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Использовать только лицензионную операционную систему и программное обеспечение, операционная система должна поддерживаться производителем (не снята разработчиком с поддержки и/или производителем регулярно выпускаются обновления)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Установить и использовать российское сертифицированное лицензионное антивирусное программное обеспечение, предназначенное для сканирования и быстрого удаления или перемещения в карантин вирусов и других вредоносных программ из любых систем или устройств, с регулярным, минимум ежедневным, обновлением антивирусных баз.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 xml:space="preserve">Организовать защищенный на базе </w:t>
      </w:r>
      <w:proofErr w:type="spellStart"/>
      <w:r w:rsidRPr="009567AE">
        <w:rPr>
          <w:rFonts w:eastAsiaTheme="minorHAnsi"/>
          <w:sz w:val="20"/>
          <w:szCs w:val="20"/>
          <w:lang w:eastAsia="en-US"/>
        </w:rPr>
        <w:t>VipNet</w:t>
      </w:r>
      <w:proofErr w:type="spellEnd"/>
      <w:r w:rsidRPr="009567AE">
        <w:rPr>
          <w:rFonts w:eastAsiaTheme="minorHAnsi"/>
          <w:sz w:val="20"/>
          <w:szCs w:val="20"/>
          <w:lang w:eastAsia="en-US"/>
        </w:rPr>
        <w:t xml:space="preserve"> канал для подключения к КСПД Общества или другого российского сертифицированного средства криптографической защиты каналов связи по согласованию с Обществом.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Установить и использовать межсетевой экран, ограничивающий взаимодействие устройств Подрядчика и внешних сетей только разрешенными потоками информации.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Использовать при работе стойкие пароли или многофакторную аутентификацию, с соблюдением следующих основных требований по паролям:</w:t>
      </w:r>
    </w:p>
    <w:p w:rsidR="009567AE" w:rsidRPr="009567AE" w:rsidRDefault="009567AE" w:rsidP="00D121CF">
      <w:pPr>
        <w:pStyle w:val="a5"/>
        <w:numPr>
          <w:ilvl w:val="2"/>
          <w:numId w:val="4"/>
        </w:numPr>
        <w:suppressAutoHyphens/>
        <w:ind w:left="851" w:hanging="284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длина пароля должна составлять не менее 12 (десяти) символов;</w:t>
      </w:r>
    </w:p>
    <w:p w:rsidR="009567AE" w:rsidRPr="009567AE" w:rsidRDefault="009567AE" w:rsidP="00D121CF">
      <w:pPr>
        <w:pStyle w:val="a5"/>
        <w:numPr>
          <w:ilvl w:val="2"/>
          <w:numId w:val="4"/>
        </w:numPr>
        <w:suppressAutoHyphens/>
        <w:ind w:left="851" w:hanging="284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пароль должен содержать печатные символы из 4 (четырех) категорий (прописные буквы A…Z, строчные буквы a…z, цифры 0…9, специальные символы @, #, $, &amp;, *, % и т.п.);</w:t>
      </w:r>
    </w:p>
    <w:p w:rsidR="009567AE" w:rsidRPr="009567AE" w:rsidRDefault="009567AE" w:rsidP="00D121CF">
      <w:pPr>
        <w:pStyle w:val="a5"/>
        <w:numPr>
          <w:ilvl w:val="2"/>
          <w:numId w:val="4"/>
        </w:numPr>
        <w:suppressAutoHyphens/>
        <w:ind w:left="851" w:hanging="284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 xml:space="preserve">пароль не должен содержать информацию личностного характера (имя, фамилия, дата рождения, логин, название организации в любых словоформах), какой-либо из использованных ранее паролей и </w:t>
      </w:r>
      <w:r w:rsidRPr="009567AE">
        <w:rPr>
          <w:rFonts w:eastAsiaTheme="minorHAnsi"/>
          <w:sz w:val="20"/>
          <w:szCs w:val="20"/>
          <w:lang w:eastAsia="en-US"/>
        </w:rPr>
        <w:lastRenderedPageBreak/>
        <w:t>очевидных сведений (номер телефона, день рождения и т. п.), любые года (2025 и пр.), а также основываться на словах естественного языка;</w:t>
      </w:r>
    </w:p>
    <w:p w:rsidR="009567AE" w:rsidRPr="009567AE" w:rsidRDefault="009567AE" w:rsidP="00D121CF">
      <w:pPr>
        <w:pStyle w:val="a5"/>
        <w:numPr>
          <w:ilvl w:val="2"/>
          <w:numId w:val="4"/>
        </w:numPr>
        <w:suppressAutoHyphens/>
        <w:ind w:left="851" w:hanging="284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 xml:space="preserve">пароль не должен содержать более 2 (двух) следующих друг за другом одинаковых символов, последовательности типа «лесенка» (находящиеся рядом на клавиатуре буквы, цифры, например, </w:t>
      </w:r>
      <w:proofErr w:type="spellStart"/>
      <w:r w:rsidRPr="009567AE">
        <w:rPr>
          <w:rFonts w:eastAsiaTheme="minorHAnsi"/>
          <w:sz w:val="20"/>
          <w:szCs w:val="20"/>
          <w:lang w:eastAsia="en-US"/>
        </w:rPr>
        <w:t>qazwsx</w:t>
      </w:r>
      <w:proofErr w:type="spellEnd"/>
      <w:r w:rsidRPr="009567AE">
        <w:rPr>
          <w:rFonts w:eastAsiaTheme="minorHAnsi"/>
          <w:sz w:val="20"/>
          <w:szCs w:val="20"/>
          <w:lang w:eastAsia="en-US"/>
        </w:rPr>
        <w:t xml:space="preserve">, </w:t>
      </w:r>
      <w:proofErr w:type="spellStart"/>
      <w:r w:rsidRPr="009567AE">
        <w:rPr>
          <w:rFonts w:eastAsiaTheme="minorHAnsi"/>
          <w:sz w:val="20"/>
          <w:szCs w:val="20"/>
          <w:lang w:eastAsia="en-US"/>
        </w:rPr>
        <w:t>poiuyt</w:t>
      </w:r>
      <w:proofErr w:type="spellEnd"/>
      <w:r w:rsidRPr="009567AE">
        <w:rPr>
          <w:rFonts w:eastAsiaTheme="minorHAnsi"/>
          <w:sz w:val="20"/>
          <w:szCs w:val="20"/>
          <w:lang w:eastAsia="en-US"/>
        </w:rPr>
        <w:t xml:space="preserve">, </w:t>
      </w:r>
      <w:proofErr w:type="spellStart"/>
      <w:r w:rsidRPr="009567AE">
        <w:rPr>
          <w:rFonts w:eastAsiaTheme="minorHAnsi"/>
          <w:sz w:val="20"/>
          <w:szCs w:val="20"/>
          <w:lang w:eastAsia="en-US"/>
        </w:rPr>
        <w:t>zxcvbn</w:t>
      </w:r>
      <w:proofErr w:type="spellEnd"/>
      <w:r w:rsidRPr="009567AE">
        <w:rPr>
          <w:rFonts w:eastAsiaTheme="minorHAnsi"/>
          <w:sz w:val="20"/>
          <w:szCs w:val="20"/>
          <w:lang w:eastAsia="en-US"/>
        </w:rPr>
        <w:t xml:space="preserve">, </w:t>
      </w:r>
      <w:proofErr w:type="spellStart"/>
      <w:r w:rsidRPr="009567AE">
        <w:rPr>
          <w:rFonts w:eastAsiaTheme="minorHAnsi"/>
          <w:sz w:val="20"/>
          <w:szCs w:val="20"/>
          <w:lang w:eastAsia="en-US"/>
        </w:rPr>
        <w:t>qwedcxza</w:t>
      </w:r>
      <w:proofErr w:type="spellEnd"/>
      <w:r w:rsidRPr="009567AE">
        <w:rPr>
          <w:rFonts w:eastAsiaTheme="minorHAnsi"/>
          <w:sz w:val="20"/>
          <w:szCs w:val="20"/>
          <w:lang w:eastAsia="en-US"/>
        </w:rPr>
        <w:t>, 1qaz, 2wsx и пр.);</w:t>
      </w:r>
    </w:p>
    <w:p w:rsidR="009567AE" w:rsidRPr="009567AE" w:rsidRDefault="009567AE" w:rsidP="00D121CF">
      <w:pPr>
        <w:pStyle w:val="a5"/>
        <w:numPr>
          <w:ilvl w:val="2"/>
          <w:numId w:val="4"/>
        </w:numPr>
        <w:suppressAutoHyphens/>
        <w:ind w:left="851" w:hanging="284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пароль не должен включать легко вычисляемые сочетания символов (например, последовательно расположенные на клавиатуре символы: «12345678», «QWERTY»), содержать названия ИС или общепринятые сокращения («ИC», «USER» и т.п.).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Регулярно производить обновление операционных систем и средств защиты.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 xml:space="preserve">Использовать </w:t>
      </w:r>
      <w:proofErr w:type="spellStart"/>
      <w:r w:rsidRPr="009567AE">
        <w:rPr>
          <w:rFonts w:eastAsiaTheme="minorHAnsi"/>
          <w:sz w:val="20"/>
          <w:szCs w:val="20"/>
          <w:lang w:eastAsia="en-US"/>
        </w:rPr>
        <w:t>криптостойкое</w:t>
      </w:r>
      <w:proofErr w:type="spellEnd"/>
      <w:r w:rsidRPr="009567AE">
        <w:rPr>
          <w:rFonts w:eastAsiaTheme="minorHAnsi"/>
          <w:sz w:val="20"/>
          <w:szCs w:val="20"/>
          <w:lang w:eastAsia="en-US"/>
        </w:rPr>
        <w:t xml:space="preserve"> шифрование или другие надежные методы для защиты конфиденциальной информации и персональных данных по месту хранения, а также принимать меры по защите, получаемой в рамках информационного взаимодействия, конфиденциальной информации (в </w:t>
      </w:r>
      <w:proofErr w:type="spellStart"/>
      <w:r w:rsidRPr="009567AE">
        <w:rPr>
          <w:rFonts w:eastAsiaTheme="minorHAnsi"/>
          <w:sz w:val="20"/>
          <w:szCs w:val="20"/>
          <w:lang w:eastAsia="en-US"/>
        </w:rPr>
        <w:t>т.ч</w:t>
      </w:r>
      <w:proofErr w:type="spellEnd"/>
      <w:r w:rsidRPr="009567AE">
        <w:rPr>
          <w:rFonts w:eastAsiaTheme="minorHAnsi"/>
          <w:sz w:val="20"/>
          <w:szCs w:val="20"/>
          <w:lang w:eastAsia="en-US"/>
        </w:rPr>
        <w:t>. персональных данных) согласно требований Федерального законодательства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Обеспечивать соблюдение принципа наименьших привилегий, согласно которому доступ ограничивается только командами, информацией, системами и другими ресурсами, необходимыми для выполнения задач по проекту (договору).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Настроить системы на выполнение автоматического тайм-аута и блокировки ПК по истечении максимального периода бездействия (15 минут), а также не допускать посторонних лиц к ПК в время сеанса подключения к информационным ресурсам Общества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При необходимости передачи учетных данных (учетную запись и пароль) или конфиденциальной информации передавать их с использованием различных каналов передачи информации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Обеспечить реагирование на инциденты и связанные с ним процедуры, незамедлительно и ни в коем случае не позднее чем через 24 (двадцать четыре) часа сообщать Обществу о любых предполагаемых или подтвержденных атаках, вторжениях, случаях несанкционированного доступа, потере или других инцидентах, касающихся информации, систем или других ресурсов Общества.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После первоначального оповещения Общества регулярно предоставлять актуальную информацию о ходе реагирования на инцидент, в том числе, помимо прочего, информировать  о мерах, принятых для устранения такого инцидента, через взаимно согласованные  промежутки времени на протяжении всего срока существования инцидента, и в разумно  возможный кратчайший срок после устранения инцидента предоставить Обществу письменный отчет, содержащий описание инцидента, меры, принятые Подрядчиком в ходе реагирования, и планы дальнейших действий Подрядчика по предотвращению подобных инцидентов.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Не разглашать публично сведения о любых подобных нарушениях неприкосновенности информации, систем или других ресурсов Общества без получения предварительного согласования Общества.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Осуществлять подключение к КСПД Общества с использованием IP-адресов, находящихся на территории Российской Федерации.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rFonts w:eastAsiaTheme="minorHAnsi"/>
          <w:sz w:val="20"/>
          <w:szCs w:val="20"/>
          <w:lang w:eastAsia="en-US"/>
        </w:rPr>
      </w:pPr>
      <w:r w:rsidRPr="009567AE">
        <w:rPr>
          <w:rFonts w:eastAsiaTheme="minorHAnsi"/>
          <w:sz w:val="20"/>
          <w:szCs w:val="20"/>
          <w:lang w:eastAsia="en-US"/>
        </w:rPr>
        <w:t>Проводить работы с использованием удаленного доступа в промежуток с 8:00-18:00 по якутскому времени (UTC+9).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contextualSpacing w:val="0"/>
        <w:jc w:val="both"/>
        <w:textAlignment w:val="baseline"/>
        <w:rPr>
          <w:sz w:val="20"/>
          <w:szCs w:val="20"/>
        </w:rPr>
      </w:pPr>
      <w:r w:rsidRPr="009567AE">
        <w:rPr>
          <w:rFonts w:eastAsiaTheme="minorHAnsi"/>
          <w:sz w:val="20"/>
          <w:szCs w:val="20"/>
          <w:lang w:eastAsia="en-US"/>
        </w:rPr>
        <w:t>Использовать для подключения к КСПД Общества средства вычислительной техники, использующиеся исключительно для рабочих целей</w:t>
      </w:r>
      <w:r w:rsidRPr="009567AE">
        <w:rPr>
          <w:sz w:val="20"/>
          <w:szCs w:val="20"/>
        </w:rPr>
        <w:t>.</w:t>
      </w:r>
      <w:bookmarkStart w:id="0" w:name="_GoBack"/>
      <w:bookmarkEnd w:id="0"/>
    </w:p>
    <w:p w:rsidR="009567AE" w:rsidRPr="009567AE" w:rsidRDefault="009567AE" w:rsidP="00D121CF">
      <w:pPr>
        <w:pStyle w:val="a5"/>
        <w:numPr>
          <w:ilvl w:val="0"/>
          <w:numId w:val="1"/>
        </w:numPr>
        <w:suppressAutoHyphens/>
        <w:spacing w:before="240" w:after="120"/>
        <w:ind w:left="567" w:hanging="567"/>
        <w:contextualSpacing w:val="0"/>
        <w:textAlignment w:val="baseline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Ответственность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sz w:val="20"/>
          <w:szCs w:val="20"/>
        </w:rPr>
      </w:pPr>
      <w:r w:rsidRPr="009567AE">
        <w:rPr>
          <w:sz w:val="20"/>
          <w:szCs w:val="20"/>
        </w:rPr>
        <w:t>Ответственность за соблюдение настоящих требований несет Подрядчик. В случае нарушения Подрядчиком либо привлеченным им третьим лицом настоящих требований, Общество оставляет за собой право приостановить доступ к корпоративной сети Общества до момента устранения Подрядчиком нарушений.</w:t>
      </w:r>
      <w:r w:rsidRPr="009567AE">
        <w:rPr>
          <w:sz w:val="20"/>
          <w:szCs w:val="20"/>
        </w:rPr>
        <w:br/>
        <w:t>При этом сроки исполнения договорных обязательств, стоимость договора и иные существенные условия договора между Обществом и Подрядчиком не изменяются</w:t>
      </w:r>
    </w:p>
    <w:p w:rsidR="009567AE" w:rsidRP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sz w:val="20"/>
          <w:szCs w:val="20"/>
        </w:rPr>
      </w:pPr>
      <w:r w:rsidRPr="009567AE">
        <w:rPr>
          <w:sz w:val="20"/>
          <w:szCs w:val="20"/>
        </w:rPr>
        <w:t>При повторном нарушении Подрядчиком настоящих требований, Общество вправе расторгнуть Договор с Подрядчиком и/или применить санкции, предусмотренные Договором</w:t>
      </w:r>
    </w:p>
    <w:p w:rsidR="009567AE" w:rsidRDefault="009567AE" w:rsidP="00D121CF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sz w:val="20"/>
          <w:szCs w:val="20"/>
        </w:rPr>
      </w:pPr>
      <w:r w:rsidRPr="009567AE">
        <w:rPr>
          <w:sz w:val="20"/>
          <w:szCs w:val="20"/>
        </w:rPr>
        <w:t>В случае привлечения Подрядчиком третьих лиц, для исполнения Договора, Подрядчик обязан включить в заключаемые с указанными лицами договоры условия о соблюдении настоящих требований и применении ответственности, предусмотренные Договором Подрядчик несет ответственность за нарушения такими третьими лицами требований информационной безопасности как за свои собственные.</w:t>
      </w:r>
    </w:p>
    <w:p w:rsidR="009567AE" w:rsidRPr="00D121CF" w:rsidRDefault="009567AE" w:rsidP="009567AE">
      <w:pPr>
        <w:pStyle w:val="a5"/>
        <w:numPr>
          <w:ilvl w:val="1"/>
          <w:numId w:val="1"/>
        </w:numPr>
        <w:suppressAutoHyphens/>
        <w:ind w:left="567" w:hanging="567"/>
        <w:jc w:val="both"/>
        <w:textAlignment w:val="baseline"/>
        <w:rPr>
          <w:sz w:val="20"/>
          <w:szCs w:val="20"/>
        </w:rPr>
      </w:pPr>
      <w:r w:rsidRPr="00D121CF">
        <w:rPr>
          <w:sz w:val="20"/>
          <w:szCs w:val="20"/>
        </w:rPr>
        <w:t>По требованию Общества Подрядчик обязан предоставить Заказчику подтверждение включения требований по информационной безопасности в договорах с третьими лицами</w:t>
      </w:r>
      <w:r w:rsidR="00D121CF">
        <w:rPr>
          <w:sz w:val="20"/>
          <w:szCs w:val="20"/>
        </w:rPr>
        <w:t>.</w:t>
      </w:r>
    </w:p>
    <w:p w:rsidR="009567AE" w:rsidRDefault="009567AE">
      <w:pPr>
        <w:rPr>
          <w:sz w:val="24"/>
        </w:rPr>
      </w:pPr>
    </w:p>
    <w:tbl>
      <w:tblPr>
        <w:tblpPr w:leftFromText="180" w:rightFromText="180" w:vertAnchor="page" w:horzAnchor="margin" w:tblpY="14495"/>
        <w:tblW w:w="4896" w:type="pct"/>
        <w:tblLook w:val="01E0" w:firstRow="1" w:lastRow="1" w:firstColumn="1" w:lastColumn="1" w:noHBand="0" w:noVBand="0"/>
      </w:tblPr>
      <w:tblGrid>
        <w:gridCol w:w="5528"/>
        <w:gridCol w:w="3909"/>
      </w:tblGrid>
      <w:tr w:rsidR="00D121CF" w:rsidRPr="007603E6" w:rsidTr="00D121CF">
        <w:trPr>
          <w:trHeight w:val="1247"/>
        </w:trPr>
        <w:tc>
          <w:tcPr>
            <w:tcW w:w="2929" w:type="pct"/>
          </w:tcPr>
          <w:p w:rsidR="00D121CF" w:rsidRPr="00A6734A" w:rsidRDefault="00D121CF" w:rsidP="00D121CF">
            <w:pPr>
              <w:spacing w:line="216" w:lineRule="auto"/>
              <w:rPr>
                <w:b/>
                <w:sz w:val="20"/>
                <w:szCs w:val="20"/>
              </w:rPr>
            </w:pPr>
            <w:r w:rsidRPr="00A6734A">
              <w:rPr>
                <w:b/>
                <w:sz w:val="20"/>
                <w:szCs w:val="20"/>
              </w:rPr>
              <w:lastRenderedPageBreak/>
              <w:t>Заказчик:</w:t>
            </w:r>
          </w:p>
          <w:p w:rsidR="00D121CF" w:rsidRDefault="00D121CF" w:rsidP="00D121CF">
            <w:pPr>
              <w:spacing w:line="216" w:lineRule="auto"/>
              <w:rPr>
                <w:sz w:val="20"/>
                <w:szCs w:val="20"/>
              </w:rPr>
            </w:pPr>
          </w:p>
          <w:p w:rsidR="00D121CF" w:rsidRDefault="00D121CF" w:rsidP="00D121CF">
            <w:pPr>
              <w:spacing w:line="216" w:lineRule="auto"/>
              <w:rPr>
                <w:sz w:val="20"/>
                <w:szCs w:val="20"/>
              </w:rPr>
            </w:pPr>
          </w:p>
          <w:p w:rsidR="00D121CF" w:rsidRPr="007603E6" w:rsidRDefault="00D121CF" w:rsidP="00D121CF">
            <w:pPr>
              <w:spacing w:line="216" w:lineRule="auto"/>
              <w:rPr>
                <w:sz w:val="20"/>
                <w:szCs w:val="20"/>
              </w:rPr>
            </w:pPr>
          </w:p>
          <w:p w:rsidR="00D121CF" w:rsidRPr="007603E6" w:rsidRDefault="00D121CF" w:rsidP="00D121CF">
            <w:pPr>
              <w:spacing w:line="216" w:lineRule="auto"/>
              <w:rPr>
                <w:sz w:val="20"/>
                <w:szCs w:val="20"/>
              </w:rPr>
            </w:pPr>
            <w:r w:rsidRPr="007603E6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 xml:space="preserve"> /</w:t>
            </w:r>
          </w:p>
        </w:tc>
        <w:tc>
          <w:tcPr>
            <w:tcW w:w="2071" w:type="pct"/>
          </w:tcPr>
          <w:p w:rsidR="00D121CF" w:rsidRPr="00A6734A" w:rsidRDefault="00D121CF" w:rsidP="00D121CF">
            <w:pPr>
              <w:spacing w:line="216" w:lineRule="auto"/>
              <w:rPr>
                <w:b/>
                <w:sz w:val="20"/>
                <w:szCs w:val="20"/>
              </w:rPr>
            </w:pPr>
            <w:r w:rsidRPr="00A6734A">
              <w:rPr>
                <w:b/>
                <w:sz w:val="20"/>
                <w:szCs w:val="20"/>
              </w:rPr>
              <w:t>Подрядчик:</w:t>
            </w:r>
          </w:p>
          <w:p w:rsidR="00D121CF" w:rsidRDefault="00D121CF" w:rsidP="00D121CF">
            <w:pPr>
              <w:spacing w:line="216" w:lineRule="auto"/>
              <w:rPr>
                <w:sz w:val="20"/>
                <w:szCs w:val="20"/>
              </w:rPr>
            </w:pPr>
          </w:p>
          <w:p w:rsidR="00D121CF" w:rsidRDefault="00D121CF" w:rsidP="00D121CF">
            <w:pPr>
              <w:spacing w:line="216" w:lineRule="auto"/>
              <w:rPr>
                <w:sz w:val="20"/>
                <w:szCs w:val="20"/>
              </w:rPr>
            </w:pPr>
          </w:p>
          <w:p w:rsidR="00D121CF" w:rsidRPr="007603E6" w:rsidRDefault="00D121CF" w:rsidP="00D121CF">
            <w:pPr>
              <w:spacing w:line="216" w:lineRule="auto"/>
              <w:rPr>
                <w:sz w:val="20"/>
                <w:szCs w:val="20"/>
              </w:rPr>
            </w:pPr>
          </w:p>
          <w:p w:rsidR="00D121CF" w:rsidRPr="007603E6" w:rsidRDefault="00D121CF" w:rsidP="00D121CF">
            <w:pPr>
              <w:spacing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 /</w:t>
            </w:r>
          </w:p>
        </w:tc>
      </w:tr>
    </w:tbl>
    <w:p w:rsidR="00CF68B8" w:rsidRDefault="00CF68B8" w:rsidP="00D121CF">
      <w:pPr>
        <w:ind w:firstLine="0"/>
      </w:pPr>
    </w:p>
    <w:sectPr w:rsidR="00CF68B8" w:rsidSect="00A71495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237F7"/>
    <w:multiLevelType w:val="multilevel"/>
    <w:tmpl w:val="5BF68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88" w:hanging="528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41BA3814"/>
    <w:multiLevelType w:val="multilevel"/>
    <w:tmpl w:val="2AC050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0"/>
        </w:tabs>
        <w:ind w:left="888" w:hanging="528"/>
      </w:pPr>
      <w:rPr>
        <w:rFonts w:ascii="Times New Roman" w:eastAsia="Times New Roman" w:hAnsi="Times New Roman" w:hint="default"/>
        <w:color w:val="000000"/>
      </w:rPr>
    </w:lvl>
    <w:lvl w:ilvl="2">
      <w:numFmt w:val="bullet"/>
      <w:lvlText w:val="–"/>
      <w:lvlJc w:val="left"/>
      <w:pPr>
        <w:tabs>
          <w:tab w:val="num" w:pos="0"/>
        </w:tabs>
        <w:ind w:left="1080" w:hanging="720"/>
      </w:pPr>
      <w:rPr>
        <w:rFonts w:ascii="Times New Roman" w:eastAsia="Times New Roman" w:hAnsi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69D0304E"/>
    <w:multiLevelType w:val="multilevel"/>
    <w:tmpl w:val="CB4249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88" w:hanging="528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8B8"/>
    <w:rsid w:val="00081E1D"/>
    <w:rsid w:val="000A0ABC"/>
    <w:rsid w:val="000E2D92"/>
    <w:rsid w:val="001A57A7"/>
    <w:rsid w:val="002449CF"/>
    <w:rsid w:val="003267D0"/>
    <w:rsid w:val="00352062"/>
    <w:rsid w:val="003B43E2"/>
    <w:rsid w:val="004117CF"/>
    <w:rsid w:val="00446892"/>
    <w:rsid w:val="004E0586"/>
    <w:rsid w:val="004F2AF0"/>
    <w:rsid w:val="00507E73"/>
    <w:rsid w:val="005E579B"/>
    <w:rsid w:val="006241B3"/>
    <w:rsid w:val="006425A9"/>
    <w:rsid w:val="006C1FDB"/>
    <w:rsid w:val="00730B3D"/>
    <w:rsid w:val="00731FF3"/>
    <w:rsid w:val="00815596"/>
    <w:rsid w:val="008A603C"/>
    <w:rsid w:val="00916EDF"/>
    <w:rsid w:val="009400DE"/>
    <w:rsid w:val="009567AE"/>
    <w:rsid w:val="00A03103"/>
    <w:rsid w:val="00A11730"/>
    <w:rsid w:val="00A71495"/>
    <w:rsid w:val="00B377BF"/>
    <w:rsid w:val="00BA7511"/>
    <w:rsid w:val="00CB6763"/>
    <w:rsid w:val="00CF68B8"/>
    <w:rsid w:val="00D121CF"/>
    <w:rsid w:val="00D5318F"/>
    <w:rsid w:val="00DE7E4F"/>
    <w:rsid w:val="00E76CBB"/>
    <w:rsid w:val="00EC1198"/>
    <w:rsid w:val="00EE77E2"/>
    <w:rsid w:val="00F7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D36AF"/>
  <w15:chartTrackingRefBased/>
  <w15:docId w15:val="{00E0DAC9-48D6-4EDF-A478-933387B43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8B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по центру,Основной текст таблиц,в таблице,таблицы,в таблицах"/>
    <w:basedOn w:val="a"/>
    <w:link w:val="a4"/>
    <w:uiPriority w:val="99"/>
    <w:rsid w:val="00CF68B8"/>
    <w:pPr>
      <w:spacing w:after="120"/>
    </w:pPr>
  </w:style>
  <w:style w:type="character" w:customStyle="1" w:styleId="a4">
    <w:name w:val="Основной текст Знак"/>
    <w:aliases w:val="Основной текст по центру Знак,Основной текст таблиц Знак,в таблице Знак,таблицы Знак,в таблицах Знак"/>
    <w:basedOn w:val="a0"/>
    <w:link w:val="a3"/>
    <w:uiPriority w:val="99"/>
    <w:rsid w:val="00CF68B8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List Paragraph"/>
    <w:aliases w:val="Table-Normal,RSHB_Table-Normal,Заголовок_3,Подпись рисунка,асз.Списка,Bullet 1,Use Case List Paragraph,List Paragraph,Bullet List,FooterText,numbered,Paragraphe de liste1,Bulletr List Paragraph,ПАРАГРАФ,Абзац списка2,Абзац основного текста"/>
    <w:basedOn w:val="a"/>
    <w:link w:val="a6"/>
    <w:uiPriority w:val="34"/>
    <w:qFormat/>
    <w:rsid w:val="009567A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Абзац списка Знак"/>
    <w:aliases w:val="Table-Normal Знак,RSHB_Table-Normal Знак,Заголовок_3 Знак,Подпись рисунка Знак,асз.Списка Знак,Bullet 1 Знак,Use Case List Paragraph Знак,List Paragraph Знак,Bullet List Знак,FooterText Знак,numbered Знак,Paragraphe de liste1 Знак"/>
    <w:link w:val="a5"/>
    <w:uiPriority w:val="34"/>
    <w:qFormat/>
    <w:locked/>
    <w:rsid w:val="00956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user">
    <w:name w:val="Standard (user)"/>
    <w:rsid w:val="009567AE"/>
    <w:pPr>
      <w:suppressAutoHyphens/>
      <w:autoSpaceDN w:val="0"/>
      <w:spacing w:after="0" w:line="276" w:lineRule="auto"/>
      <w:textAlignment w:val="baseline"/>
    </w:pPr>
    <w:rPr>
      <w:rFonts w:ascii="Calibri" w:eastAsia="Calibri" w:hAnsi="Calibri" w:cs="F"/>
    </w:rPr>
  </w:style>
  <w:style w:type="paragraph" w:customStyle="1" w:styleId="Standard">
    <w:name w:val="Standard"/>
    <w:qFormat/>
    <w:rsid w:val="009567AE"/>
    <w:pPr>
      <w:suppressAutoHyphens/>
      <w:spacing w:after="0" w:line="276" w:lineRule="auto"/>
      <w:textAlignment w:val="baseline"/>
    </w:pPr>
    <w:rPr>
      <w:rFonts w:cs="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Павел Тимурович</dc:creator>
  <cp:keywords/>
  <dc:description/>
  <cp:lastModifiedBy>Котова Анна Сергеевна</cp:lastModifiedBy>
  <cp:revision>33</cp:revision>
  <dcterms:created xsi:type="dcterms:W3CDTF">2020-07-07T02:45:00Z</dcterms:created>
  <dcterms:modified xsi:type="dcterms:W3CDTF">2025-11-10T01:33:00Z</dcterms:modified>
</cp:coreProperties>
</file>